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2BF2" w:rsidR="00E77E7D" w:rsidP="000304C5" w:rsidRDefault="00E77E7D" w14:paraId="65BE6ADA" w14:textId="77777777">
      <w:pPr>
        <w:kinsoku w:val="0"/>
        <w:overflowPunct w:val="0"/>
        <w:autoSpaceDE/>
        <w:autoSpaceDN/>
        <w:adjustRightInd/>
        <w:spacing w:after="120"/>
        <w:mirrorIndents/>
        <w:jc w:val="both"/>
        <w:textAlignment w:val="baseline"/>
        <w:rPr>
          <w:rFonts w:ascii="Arial" w:hAnsi="Arial" w:eastAsia="Arial" w:cs="Arial"/>
          <w:b/>
          <w:bCs/>
          <w:color w:val="3684C3"/>
          <w:spacing w:val="5"/>
          <w:szCs w:val="20"/>
          <w:lang w:val="fr-FR" w:eastAsia="fr-FR"/>
        </w:rPr>
      </w:pPr>
      <w:r w:rsidRPr="00712BF2">
        <w:rPr>
          <w:rFonts w:ascii="Arial" w:hAnsi="Arial" w:eastAsia="Arial" w:cs="Arial"/>
          <w:b/>
          <w:bCs/>
          <w:color w:val="3684C3"/>
          <w:spacing w:val="5"/>
          <w:szCs w:val="20"/>
          <w:lang w:val="fr-FR" w:eastAsia="fr-FR"/>
        </w:rPr>
        <w:t>CONTEXTE</w:t>
      </w:r>
    </w:p>
    <w:p w:rsidRPr="002614D7" w:rsidR="00E77E7D" w:rsidP="321D6DAD" w:rsidRDefault="00E77E7D" w14:paraId="55162288" w14:textId="01FD3C71">
      <w:pPr>
        <w:kinsoku w:val="0"/>
        <w:overflowPunct w:val="0"/>
        <w:autoSpaceDE/>
        <w:autoSpaceDN/>
        <w:adjustRightInd/>
        <w:spacing w:after="240"/>
        <w:mirrorIndents/>
        <w:jc w:val="both"/>
        <w:textAlignment w:val="baseline"/>
        <w:rPr>
          <w:rFonts w:ascii="Arial" w:hAnsi="Arial" w:eastAsia="Arial" w:cs="Arial"/>
          <w:color w:val="000000"/>
          <w:spacing w:val="4"/>
          <w:lang w:val="fr-FR" w:eastAsia="fr-FR"/>
        </w:rPr>
      </w:pPr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 xml:space="preserve">La protection des renseignements personnels prend de plus en plus d’importance pour les clients. Ainsi, les </w:t>
      </w:r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>chiropraticiens·nes</w:t>
      </w:r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 xml:space="preserve"> doivent s’adapter pour répondre à ces exigences. Cela est d’autant plus vrai au Québec alors que la</w:t>
      </w:r>
      <w:r w:rsidRPr="321D6DAD" w:rsidR="00E77E7D">
        <w:rPr>
          <w:rFonts w:ascii="Arial" w:hAnsi="Arial" w:eastAsia="Arial" w:cs="Arial"/>
          <w:i w:val="1"/>
          <w:iCs w:val="1"/>
          <w:color w:val="265A9B"/>
          <w:spacing w:val="4"/>
          <w:u w:val="single"/>
          <w:lang w:val="fr-FR" w:eastAsia="fr-FR"/>
        </w:rPr>
        <w:t xml:space="preserve"> </w:t>
      </w:r>
      <w:hyperlink w:history="1" r:id="Rf580a9090cd54785">
        <w:r w:rsidRPr="321D6DAD" w:rsidR="00E77E7D">
          <w:rPr>
            <w:rFonts w:ascii="Arial" w:hAnsi="Arial" w:eastAsia="Arial" w:cs="Arial"/>
            <w:i w:val="1"/>
            <w:iCs w:val="1"/>
            <w:color w:val="0000FF"/>
            <w:spacing w:val="4"/>
            <w:u w:val="single"/>
            <w:lang w:val="fr-FR" w:eastAsia="fr-FR"/>
          </w:rPr>
          <w:t>Loi sur la protection des renseignements personnels dans le secteur privé</w:t>
        </w:r>
      </w:hyperlink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 xml:space="preserve"> (RLRQ c P-39.1) (« </w:t>
      </w:r>
      <w:r w:rsidRPr="321D6DAD" w:rsidR="00E77E7D">
        <w:rPr>
          <w:rFonts w:ascii="Arial" w:hAnsi="Arial" w:eastAsia="Arial" w:cs="Arial"/>
          <w:b w:val="1"/>
          <w:bCs w:val="1"/>
          <w:i w:val="1"/>
          <w:iCs w:val="1"/>
          <w:color w:val="000000"/>
          <w:spacing w:val="4"/>
          <w:lang w:val="fr-FR" w:eastAsia="fr-FR"/>
        </w:rPr>
        <w:t xml:space="preserve">Loi sur le privé </w:t>
      </w:r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>») applicable aux cabinets d</w:t>
      </w:r>
      <w:r w:rsidRPr="321D6DAD" w:rsidR="62793DD6">
        <w:rPr>
          <w:rFonts w:ascii="Arial" w:hAnsi="Arial" w:eastAsia="Arial" w:cs="Arial"/>
          <w:color w:val="000000"/>
          <w:spacing w:val="4"/>
          <w:lang w:val="fr-FR" w:eastAsia="fr-FR"/>
        </w:rPr>
        <w:t>e chiropraticiens</w:t>
      </w:r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 xml:space="preserve"> a récemment été modifiée de manière importante par la</w:t>
      </w:r>
      <w:r w:rsidRPr="321D6DAD" w:rsidR="00E77E7D">
        <w:rPr>
          <w:rFonts w:ascii="Arial" w:hAnsi="Arial" w:eastAsia="Arial" w:cs="Arial"/>
          <w:i w:val="1"/>
          <w:iCs w:val="1"/>
          <w:color w:val="265A9B"/>
          <w:spacing w:val="4"/>
          <w:u w:val="single"/>
          <w:lang w:val="fr-FR" w:eastAsia="fr-FR"/>
        </w:rPr>
        <w:t xml:space="preserve"> </w:t>
      </w:r>
      <w:hyperlink w:history="1" r:id="R714a465b45c04391">
        <w:r w:rsidRPr="321D6DAD" w:rsidR="00E77E7D">
          <w:rPr>
            <w:rFonts w:ascii="Arial" w:hAnsi="Arial" w:eastAsia="Arial" w:cs="Arial"/>
            <w:i w:val="1"/>
            <w:iCs w:val="1"/>
            <w:color w:val="0000FF"/>
            <w:spacing w:val="4"/>
            <w:u w:val="single"/>
            <w:lang w:val="fr-FR" w:eastAsia="fr-FR"/>
          </w:rPr>
          <w:t>Loi modernisant des dispositions législatives en matière</w:t>
        </w:r>
      </w:hyperlink>
      <w:r w:rsidRPr="321D6DAD" w:rsidR="00E77E7D">
        <w:rPr>
          <w:rFonts w:ascii="Arial" w:hAnsi="Arial" w:eastAsia="Arial" w:cs="Arial"/>
          <w:i w:val="1"/>
          <w:iCs w:val="1"/>
          <w:color w:val="265A9B"/>
          <w:spacing w:val="4"/>
          <w:u w:val="single"/>
          <w:lang w:val="fr-FR" w:eastAsia="fr-FR"/>
        </w:rPr>
        <w:t xml:space="preserve"> </w:t>
      </w:r>
      <w:hyperlink w:history="1" r:id="R3f4cd7a38ba441f2">
        <w:r w:rsidRPr="321D6DAD" w:rsidR="00E77E7D">
          <w:rPr>
            <w:rFonts w:ascii="Arial" w:hAnsi="Arial" w:eastAsia="Arial" w:cs="Arial"/>
            <w:i w:val="1"/>
            <w:iCs w:val="1"/>
            <w:color w:val="0000FF"/>
            <w:spacing w:val="4"/>
            <w:u w:val="single"/>
            <w:lang w:val="fr-FR" w:eastAsia="fr-FR"/>
          </w:rPr>
          <w:t xml:space="preserve"> de protection des renseignements personnels</w:t>
        </w:r>
      </w:hyperlink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 xml:space="preserve"> (LQ 2021, c. 25), aussi connue sous le nom de projet de loi 64 ou </w:t>
      </w:r>
      <w:r w:rsidRPr="321D6DAD" w:rsidR="00E77E7D">
        <w:rPr>
          <w:rFonts w:ascii="Arial" w:hAnsi="Arial" w:eastAsia="Arial" w:cs="Arial"/>
          <w:b w:val="1"/>
          <w:bCs w:val="1"/>
          <w:i w:val="1"/>
          <w:iCs w:val="1"/>
          <w:color w:val="000000"/>
          <w:spacing w:val="4"/>
          <w:lang w:val="fr-FR" w:eastAsia="fr-FR"/>
        </w:rPr>
        <w:t>Loi 25</w:t>
      </w:r>
      <w:r w:rsidRPr="321D6DAD" w:rsidR="00E77E7D">
        <w:rPr>
          <w:rFonts w:ascii="Arial" w:hAnsi="Arial" w:eastAsia="Arial" w:cs="Arial"/>
          <w:color w:val="000000"/>
          <w:spacing w:val="4"/>
          <w:lang w:val="fr-FR" w:eastAsia="fr-FR"/>
        </w:rPr>
        <w:t>.</w:t>
      </w:r>
    </w:p>
    <w:p w:rsidRPr="002614D7" w:rsidR="00E77E7D" w:rsidP="321D6DAD" w:rsidRDefault="00E77E7D" w14:paraId="4D37A67A" w14:textId="13ECBCFF">
      <w:pPr>
        <w:kinsoku w:val="0"/>
        <w:overflowPunct w:val="0"/>
        <w:autoSpaceDE/>
        <w:autoSpaceDN/>
        <w:adjustRightInd/>
        <w:spacing w:after="240"/>
        <w:mirrorIndents/>
        <w:jc w:val="both"/>
        <w:textAlignment w:val="baseline"/>
        <w:rPr>
          <w:rFonts w:ascii="Arial" w:hAnsi="Arial" w:eastAsia="Arial" w:cs="Arial"/>
          <w:color w:val="000000"/>
          <w:spacing w:val="2"/>
          <w:lang w:val="fr-FR" w:eastAsia="fr-FR"/>
        </w:rPr>
      </w:pPr>
      <w:r w:rsidRPr="321D6DAD" w:rsidR="00E77E7D">
        <w:rPr>
          <w:rFonts w:ascii="Arial" w:hAnsi="Arial" w:eastAsia="Arial" w:cs="Arial"/>
          <w:color w:val="000000"/>
          <w:spacing w:val="2"/>
          <w:lang w:val="fr-FR" w:eastAsia="fr-FR"/>
        </w:rPr>
        <w:t xml:space="preserve">L’Ordre propose cet aide-mémoire qui vise à sensibiliser les </w:t>
      </w:r>
      <w:r w:rsidRPr="321D6DAD" w:rsidR="00E77E7D">
        <w:rPr>
          <w:rFonts w:ascii="Arial" w:hAnsi="Arial" w:eastAsia="Arial" w:cs="Arial"/>
          <w:color w:val="000000"/>
          <w:spacing w:val="2"/>
          <w:lang w:val="fr-FR" w:eastAsia="fr-FR"/>
        </w:rPr>
        <w:t>chiropraticiens·nes</w:t>
      </w:r>
      <w:r w:rsidRPr="321D6DAD" w:rsidR="00E77E7D">
        <w:rPr>
          <w:rFonts w:ascii="Arial" w:hAnsi="Arial" w:eastAsia="Arial" w:cs="Arial"/>
          <w:color w:val="000000"/>
          <w:spacing w:val="2"/>
          <w:lang w:val="fr-FR" w:eastAsia="fr-FR"/>
        </w:rPr>
        <w:t xml:space="preserve"> aux nouvelles obligations en matière de protection des renseignements personnels au Québec et à leur fournir des conseils pratiques pour s’y conformer. À cet effet, chaque thème comporte des actions simples que peuvent accomplir tous les chiropraticiens</w:t>
      </w:r>
      <w:r w:rsidRPr="321D6DAD" w:rsidR="707D7B47">
        <w:rPr>
          <w:rFonts w:ascii="Arial" w:hAnsi="Arial" w:eastAsia="Arial" w:cs="Arial"/>
          <w:color w:val="000000"/>
          <w:spacing w:val="2"/>
          <w:lang w:val="fr-FR" w:eastAsia="fr-FR"/>
        </w:rPr>
        <w:t xml:space="preserve"> </w:t>
      </w:r>
      <w:r w:rsidRPr="321D6DAD" w:rsidR="00E77E7D">
        <w:rPr>
          <w:rFonts w:ascii="Arial" w:hAnsi="Arial" w:eastAsia="Arial" w:cs="Arial"/>
          <w:color w:val="000000"/>
          <w:spacing w:val="2"/>
          <w:lang w:val="fr-FR" w:eastAsia="fr-FR"/>
        </w:rPr>
        <w:t>pour que leur pratique soit conforme aux nouvelles exi</w:t>
      </w:r>
      <w:r w:rsidRPr="321D6DAD" w:rsidR="00E77E7D">
        <w:rPr>
          <w:rFonts w:ascii="Arial" w:hAnsi="Arial" w:eastAsia="Arial" w:cs="Arial"/>
          <w:color w:val="000000"/>
          <w:spacing w:val="2"/>
          <w:lang w:val="fr-FR" w:eastAsia="fr-FR"/>
        </w:rPr>
        <w:softHyphen/>
        <w:t xml:space="preserve">gences de la </w:t>
      </w:r>
      <w:r w:rsidRPr="321D6DAD" w:rsidR="00E77E7D">
        <w:rPr>
          <w:rFonts w:ascii="Arial" w:hAnsi="Arial" w:eastAsia="Arial" w:cs="Arial"/>
          <w:i w:val="1"/>
          <w:iCs w:val="1"/>
          <w:color w:val="000000"/>
          <w:spacing w:val="2"/>
          <w:lang w:val="fr-FR" w:eastAsia="fr-FR"/>
        </w:rPr>
        <w:t>Loi sur le privé</w:t>
      </w:r>
      <w:r w:rsidRPr="321D6DAD" w:rsidR="00E77E7D">
        <w:rPr>
          <w:rFonts w:ascii="Arial" w:hAnsi="Arial" w:eastAsia="Arial" w:cs="Arial"/>
          <w:color w:val="000000"/>
          <w:spacing w:val="2"/>
          <w:lang w:val="fr-FR" w:eastAsia="fr-FR"/>
        </w:rPr>
        <w:t xml:space="preserve">. </w:t>
      </w:r>
    </w:p>
    <w:p w:rsidRPr="00712BF2" w:rsidR="00E77E7D" w:rsidP="000304C5" w:rsidRDefault="00E77E7D" w14:paraId="6AFA85D0" w14:textId="257C8C4A">
      <w:pPr>
        <w:kinsoku w:val="0"/>
        <w:overflowPunct w:val="0"/>
        <w:autoSpaceDE/>
        <w:autoSpaceDN/>
        <w:adjustRightInd/>
        <w:spacing w:after="120"/>
        <w:mirrorIndents/>
        <w:jc w:val="both"/>
        <w:textAlignment w:val="baseline"/>
        <w:rPr>
          <w:rFonts w:ascii="Arial" w:hAnsi="Arial" w:eastAsia="Arial" w:cs="Arial"/>
          <w:b/>
          <w:bCs/>
          <w:color w:val="3684C3"/>
          <w:spacing w:val="5"/>
          <w:szCs w:val="20"/>
          <w:lang w:val="fr-FR" w:eastAsia="fr-FR"/>
        </w:rPr>
      </w:pPr>
      <w:r w:rsidRPr="00712BF2">
        <w:rPr>
          <w:rFonts w:ascii="Arial" w:hAnsi="Arial" w:eastAsia="Arial" w:cs="Arial"/>
          <w:b/>
          <w:bCs/>
          <w:color w:val="3684C3"/>
          <w:spacing w:val="5"/>
          <w:szCs w:val="20"/>
          <w:lang w:val="fr-FR" w:eastAsia="fr-FR"/>
        </w:rPr>
        <w:t xml:space="preserve">TEST </w:t>
      </w:r>
      <w:r w:rsidR="0031702F">
        <w:rPr>
          <w:rFonts w:ascii="Arial" w:hAnsi="Arial" w:eastAsia="Arial" w:cs="Arial"/>
          <w:b/>
          <w:bCs/>
          <w:color w:val="3684C3"/>
          <w:spacing w:val="5"/>
          <w:szCs w:val="20"/>
          <w:lang w:val="fr-FR" w:eastAsia="fr-FR"/>
        </w:rPr>
        <w:t>É</w:t>
      </w:r>
      <w:r w:rsidRPr="00712BF2">
        <w:rPr>
          <w:rFonts w:ascii="Arial" w:hAnsi="Arial" w:eastAsia="Arial" w:cs="Arial"/>
          <w:b/>
          <w:bCs/>
          <w:color w:val="3684C3"/>
          <w:spacing w:val="5"/>
          <w:szCs w:val="20"/>
          <w:lang w:val="fr-FR" w:eastAsia="fr-FR"/>
        </w:rPr>
        <w:t>CLAIR DE CONFORMITÉ</w:t>
      </w:r>
    </w:p>
    <w:p w:rsidRPr="002614D7" w:rsidR="00E77E7D" w:rsidP="000304C5" w:rsidRDefault="00E77E7D" w14:paraId="27EC6131" w14:textId="77777777">
      <w:pPr>
        <w:kinsoku w:val="0"/>
        <w:overflowPunct w:val="0"/>
        <w:autoSpaceDE/>
        <w:autoSpaceDN/>
        <w:adjustRightInd/>
        <w:spacing w:after="240"/>
        <w:mirrorIndents/>
        <w:jc w:val="both"/>
        <w:textAlignment w:val="baseline"/>
        <w:rPr>
          <w:rFonts w:ascii="Arial" w:hAnsi="Arial" w:eastAsia="Arial" w:cs="Arial"/>
          <w:color w:val="000000"/>
          <w:szCs w:val="20"/>
          <w:lang w:val="fr-FR" w:eastAsia="fr-FR"/>
        </w:rPr>
      </w:pPr>
      <w:r w:rsidRPr="002614D7">
        <w:rPr>
          <w:rFonts w:ascii="Arial" w:hAnsi="Arial" w:eastAsia="Arial" w:cs="Arial"/>
          <w:color w:val="000000" w:themeColor="text1"/>
          <w:szCs w:val="20"/>
          <w:lang w:val="fr-FR" w:eastAsia="fr-FR"/>
        </w:rPr>
        <w:t>Répondez aux questions suivantes au meilleur de vos connaissances. Si vous répondez NON ou si vous ignorez la réponse, consultez la liste de contrôle ci-dessous.</w:t>
      </w:r>
    </w:p>
    <w:p w:rsidRPr="002614D7" w:rsidR="00F24394" w:rsidP="000304C5" w:rsidRDefault="00C97D7E" w14:paraId="3BDAC8FF" w14:textId="0D1AF5B2">
      <w:pPr>
        <w:kinsoku w:val="0"/>
        <w:overflowPunct w:val="0"/>
        <w:autoSpaceDE/>
        <w:autoSpaceDN/>
        <w:adjustRightInd/>
        <w:spacing w:after="240"/>
        <w:mirrorIndents/>
        <w:jc w:val="both"/>
        <w:textAlignment w:val="baseline"/>
        <w:rPr>
          <w:rFonts w:ascii="Arial" w:hAnsi="Arial" w:eastAsia="Arial" w:cs="Arial"/>
          <w:color w:val="000000"/>
          <w:szCs w:val="20"/>
          <w:lang w:val="fr-CA" w:eastAsia="fr-FR"/>
        </w:rPr>
      </w:pPr>
      <w:r w:rsidRPr="002614D7">
        <w:rPr>
          <w:rFonts w:ascii="Arial" w:hAnsi="Arial" w:eastAsia="Arial" w:cs="Arial"/>
          <w:color w:val="000000" w:themeColor="text1"/>
          <w:szCs w:val="20"/>
          <w:lang w:val="fr-CA" w:eastAsia="fr-FR"/>
        </w:rPr>
        <w:t>Pour plus d’informations,</w:t>
      </w:r>
      <w:r w:rsidRPr="002614D7" w:rsidR="00615657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 </w:t>
      </w:r>
      <w:r w:rsidRPr="002614D7" w:rsidR="001A4079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nous vous invitons à consulter </w:t>
      </w:r>
      <w:r w:rsidRPr="002614D7" w:rsidR="00023DE9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le </w:t>
      </w:r>
      <w:r w:rsidRPr="002614D7" w:rsidR="0032582E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Guide </w:t>
      </w:r>
      <w:r w:rsidRPr="002614D7" w:rsidR="00214FF1">
        <w:rPr>
          <w:rFonts w:ascii="Arial" w:hAnsi="Arial" w:eastAsia="Arial" w:cs="Arial"/>
          <w:color w:val="000000" w:themeColor="text1"/>
          <w:szCs w:val="20"/>
          <w:lang w:val="fr-CA" w:eastAsia="fr-FR"/>
        </w:rPr>
        <w:t>explicatif</w:t>
      </w:r>
      <w:r w:rsidRPr="002614D7" w:rsidR="001B6949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 ains</w:t>
      </w:r>
      <w:r w:rsidRPr="002614D7" w:rsidR="00347252">
        <w:rPr>
          <w:rFonts w:ascii="Arial" w:hAnsi="Arial" w:eastAsia="Arial" w:cs="Arial"/>
          <w:color w:val="000000" w:themeColor="text1"/>
          <w:szCs w:val="20"/>
          <w:lang w:val="fr-CA" w:eastAsia="fr-FR"/>
        </w:rPr>
        <w:t>i que la Norme relative à l’utilisation des TIC</w:t>
      </w:r>
      <w:r w:rsidRPr="002614D7" w:rsidR="007E4AAE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, disponibles </w:t>
      </w:r>
      <w:r w:rsidRPr="002614D7" w:rsidR="00E6403F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dans la zone membre </w:t>
      </w:r>
      <w:r w:rsidRPr="002614D7" w:rsidR="00AA6D69">
        <w:rPr>
          <w:rFonts w:ascii="Arial" w:hAnsi="Arial" w:eastAsia="Arial" w:cs="Arial"/>
          <w:color w:val="000000" w:themeColor="text1"/>
          <w:szCs w:val="20"/>
          <w:lang w:val="fr-CA" w:eastAsia="fr-FR"/>
        </w:rPr>
        <w:t>du</w:t>
      </w:r>
      <w:r w:rsidRPr="002614D7" w:rsidR="007E4AAE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 site</w:t>
      </w:r>
      <w:r w:rsidRPr="002614D7" w:rsidR="00813D0B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 Web de l’Ordre</w:t>
      </w:r>
      <w:r w:rsidRPr="002614D7" w:rsidR="00CC3354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, </w:t>
      </w:r>
      <w:r w:rsidRPr="002614D7" w:rsidR="004200DC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sous l’onglet </w:t>
      </w:r>
      <w:r w:rsidRPr="002614D7" w:rsidR="008D4935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&gt; </w:t>
      </w:r>
      <w:r w:rsidRPr="002614D7" w:rsidR="000F03B1">
        <w:rPr>
          <w:rFonts w:ascii="Arial" w:hAnsi="Arial" w:eastAsia="Arial" w:cs="Arial"/>
          <w:color w:val="000000" w:themeColor="text1"/>
          <w:szCs w:val="20"/>
          <w:lang w:val="fr-CA" w:eastAsia="fr-FR"/>
        </w:rPr>
        <w:t>Outils de travail </w:t>
      </w:r>
      <w:r w:rsidRPr="002614D7" w:rsidR="00D356EF">
        <w:rPr>
          <w:rFonts w:ascii="Arial" w:hAnsi="Arial" w:eastAsia="Arial" w:cs="Arial"/>
          <w:color w:val="000000" w:themeColor="text1"/>
          <w:szCs w:val="20"/>
          <w:lang w:val="fr-CA" w:eastAsia="fr-FR"/>
        </w:rPr>
        <w:t>&gt;</w:t>
      </w:r>
      <w:r w:rsidRPr="002614D7" w:rsidR="00CB52BD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 Normes d’exercice</w:t>
      </w:r>
      <w:r w:rsidRPr="002614D7" w:rsidR="008D4935">
        <w:rPr>
          <w:rFonts w:ascii="Arial" w:hAnsi="Arial" w:eastAsia="Arial" w:cs="Arial"/>
          <w:color w:val="000000" w:themeColor="text1"/>
          <w:szCs w:val="20"/>
          <w:lang w:val="fr-CA" w:eastAsia="fr-FR"/>
        </w:rPr>
        <w:t xml:space="preserve"> &gt; Protection des renseignements personnels et des TIC</w:t>
      </w:r>
      <w:r w:rsidRPr="002614D7" w:rsidR="00EC2B8C">
        <w:rPr>
          <w:rFonts w:ascii="Arial" w:hAnsi="Arial" w:eastAsia="Arial" w:cs="Arial"/>
          <w:color w:val="000000" w:themeColor="text1"/>
          <w:szCs w:val="20"/>
          <w:lang w:val="fr-CA" w:eastAsia="fr-FR"/>
        </w:rPr>
        <w:t>.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812"/>
        <w:gridCol w:w="6181"/>
        <w:gridCol w:w="1024"/>
        <w:gridCol w:w="1024"/>
        <w:gridCol w:w="1024"/>
      </w:tblGrid>
      <w:tr w:rsidRPr="002614D7" w:rsidR="00424170" w:rsidTr="001668A8" w14:paraId="73A17B0F" w14:textId="77777777">
        <w:trPr>
          <w:trHeight w:val="20"/>
        </w:trPr>
        <w:tc>
          <w:tcPr>
            <w:tcW w:w="675" w:type="dxa"/>
            <w:shd w:val="clear" w:color="auto" w:fill="3684C3"/>
            <w:vAlign w:val="center"/>
          </w:tcPr>
          <w:p w:rsidRPr="002614D7" w:rsidR="002B3886" w:rsidP="008C6D1C" w:rsidRDefault="002B3886" w14:paraId="09BC9087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FFFFFF" w:themeColor="background1"/>
                <w:szCs w:val="20"/>
                <w:lang w:val="fr-CA" w:eastAsia="fr-FR"/>
              </w:rPr>
            </w:pPr>
          </w:p>
        </w:tc>
        <w:tc>
          <w:tcPr>
            <w:tcW w:w="5137" w:type="dxa"/>
            <w:shd w:val="clear" w:color="auto" w:fill="3684C3"/>
            <w:vAlign w:val="center"/>
          </w:tcPr>
          <w:p w:rsidRPr="002614D7" w:rsidR="002B3886" w:rsidP="008C6D1C" w:rsidRDefault="002B3886" w14:paraId="2201445E" w14:textId="293242A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FFFFFF" w:themeColor="background1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Dans votre cabinet ou</w:t>
            </w:r>
            <w:r w:rsidR="00FA66C5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 xml:space="preserve"> </w:t>
            </w: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votre organisation...</w:t>
            </w:r>
          </w:p>
        </w:tc>
        <w:tc>
          <w:tcPr>
            <w:tcW w:w="851" w:type="dxa"/>
            <w:shd w:val="clear" w:color="auto" w:fill="3684C3"/>
            <w:vAlign w:val="center"/>
          </w:tcPr>
          <w:p w:rsidRPr="002614D7" w:rsidR="002B3886" w:rsidP="00E37A7A" w:rsidRDefault="002B3886" w14:paraId="25A87BE7" w14:textId="3C33CC32">
            <w:pPr>
              <w:kinsoku w:val="0"/>
              <w:overflowPunct w:val="0"/>
              <w:autoSpaceDE/>
              <w:autoSpaceDN/>
              <w:adjustRightInd/>
              <w:mirrorIndents/>
              <w:jc w:val="center"/>
              <w:textAlignment w:val="baseline"/>
              <w:rPr>
                <w:rFonts w:ascii="Arial" w:hAnsi="Arial" w:eastAsia="Arial" w:cs="Arial"/>
                <w:color w:val="FFFFFF" w:themeColor="background1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Oui</w:t>
            </w:r>
          </w:p>
        </w:tc>
        <w:tc>
          <w:tcPr>
            <w:tcW w:w="851" w:type="dxa"/>
            <w:shd w:val="clear" w:color="auto" w:fill="3684C3"/>
            <w:vAlign w:val="center"/>
          </w:tcPr>
          <w:p w:rsidRPr="002614D7" w:rsidR="002B3886" w:rsidP="00E37A7A" w:rsidRDefault="002B3886" w14:paraId="4BA617C5" w14:textId="6FB239CF">
            <w:pPr>
              <w:kinsoku w:val="0"/>
              <w:overflowPunct w:val="0"/>
              <w:autoSpaceDE/>
              <w:autoSpaceDN/>
              <w:adjustRightInd/>
              <w:mirrorIndents/>
              <w:jc w:val="center"/>
              <w:textAlignment w:val="baseline"/>
              <w:rPr>
                <w:rFonts w:ascii="Arial" w:hAnsi="Arial" w:eastAsia="Arial" w:cs="Arial"/>
                <w:color w:val="FFFFFF" w:themeColor="background1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Non</w:t>
            </w:r>
          </w:p>
        </w:tc>
        <w:tc>
          <w:tcPr>
            <w:tcW w:w="851" w:type="dxa"/>
            <w:shd w:val="clear" w:color="auto" w:fill="3684C3"/>
            <w:vAlign w:val="center"/>
          </w:tcPr>
          <w:p w:rsidRPr="002614D7" w:rsidR="002B3886" w:rsidP="00E37A7A" w:rsidRDefault="002B3886" w14:paraId="3DEACC04" w14:textId="3C26F630">
            <w:pPr>
              <w:kinsoku w:val="0"/>
              <w:overflowPunct w:val="0"/>
              <w:autoSpaceDE/>
              <w:autoSpaceDN/>
              <w:adjustRightInd/>
              <w:mirrorIndents/>
              <w:jc w:val="center"/>
              <w:textAlignment w:val="baseline"/>
              <w:rPr>
                <w:rFonts w:ascii="Arial" w:hAnsi="Arial" w:eastAsia="Arial" w:cs="Arial"/>
                <w:color w:val="FFFFFF" w:themeColor="background1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Ne</w:t>
            </w:r>
            <w:r w:rsidRPr="002614D7" w:rsidR="001C66AE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 xml:space="preserve"> </w:t>
            </w: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 xml:space="preserve">sais </w:t>
            </w:r>
            <w:r w:rsidRPr="002614D7" w:rsidR="001C66AE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p</w:t>
            </w:r>
            <w:r w:rsidRPr="002614D7">
              <w:rPr>
                <w:rFonts w:ascii="Arial" w:hAnsi="Arial" w:eastAsia="Arial" w:cs="Arial"/>
                <w:b/>
                <w:bCs/>
                <w:color w:val="FFFFFF" w:themeColor="background1"/>
                <w:szCs w:val="20"/>
                <w:lang w:val="fr-FR" w:eastAsia="fr-FR"/>
              </w:rPr>
              <w:t>as</w:t>
            </w:r>
          </w:p>
        </w:tc>
      </w:tr>
      <w:tr w:rsidRPr="002614D7" w:rsidR="001C66AE" w:rsidTr="001668A8" w14:paraId="4FCD8AD6" w14:textId="77777777">
        <w:trPr>
          <w:trHeight w:val="527"/>
        </w:trPr>
        <w:tc>
          <w:tcPr>
            <w:tcW w:w="675" w:type="dxa"/>
            <w:vAlign w:val="center"/>
          </w:tcPr>
          <w:p w:rsidRPr="002614D7" w:rsidR="002B3886" w:rsidP="008C6D1C" w:rsidRDefault="002B3886" w14:paraId="6A23F635" w14:textId="02D35C38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1.</w:t>
            </w:r>
          </w:p>
        </w:tc>
        <w:tc>
          <w:tcPr>
            <w:tcW w:w="5137" w:type="dxa"/>
            <w:vAlign w:val="center"/>
          </w:tcPr>
          <w:p w:rsidRPr="002614D7" w:rsidR="002B3886" w:rsidP="008C6D1C" w:rsidRDefault="002B3886" w14:paraId="00A95096" w14:textId="0689106C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nommé un ou une responsable de la protection des renseignements 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personnels?</w:t>
            </w: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7A852B3C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61D88519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4A76EF77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1C66AE" w:rsidTr="001668A8" w14:paraId="4B6A1D89" w14:textId="77777777">
        <w:trPr>
          <w:trHeight w:val="20"/>
        </w:trPr>
        <w:tc>
          <w:tcPr>
            <w:tcW w:w="675" w:type="dxa"/>
            <w:vAlign w:val="center"/>
          </w:tcPr>
          <w:p w:rsidRPr="002614D7" w:rsidR="002B3886" w:rsidP="008C6D1C" w:rsidRDefault="002B3886" w14:paraId="3B684C4F" w14:textId="197B8A55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2.</w:t>
            </w:r>
          </w:p>
        </w:tc>
        <w:tc>
          <w:tcPr>
            <w:tcW w:w="5137" w:type="dxa"/>
            <w:vAlign w:val="center"/>
          </w:tcPr>
          <w:p w:rsidRPr="002614D7" w:rsidR="002B3886" w:rsidP="008C6D1C" w:rsidRDefault="002B3886" w14:paraId="2B445861" w14:textId="5347A5EF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publié une politique de confidentialité sur votre site 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Web?</w:t>
            </w: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77FF475E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1761E1F4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21260A69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1C66AE" w:rsidTr="001668A8" w14:paraId="6CCF21A1" w14:textId="77777777">
        <w:trPr>
          <w:trHeight w:val="20"/>
        </w:trPr>
        <w:tc>
          <w:tcPr>
            <w:tcW w:w="675" w:type="dxa"/>
            <w:vAlign w:val="center"/>
          </w:tcPr>
          <w:p w:rsidRPr="002614D7" w:rsidR="002B3886" w:rsidP="008C6D1C" w:rsidRDefault="00957D76" w14:paraId="4897313D" w14:textId="35EA2B54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3.</w:t>
            </w:r>
          </w:p>
        </w:tc>
        <w:tc>
          <w:tcPr>
            <w:tcW w:w="5137" w:type="dxa"/>
            <w:vAlign w:val="center"/>
          </w:tcPr>
          <w:p w:rsidRPr="002614D7" w:rsidR="002B3886" w:rsidP="008C6D1C" w:rsidRDefault="00957D76" w14:paraId="6B48C274" w14:textId="7EB5A7D6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publié des conditions d’utilisation sur votre site Web relativement aux services que vous 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offrez?</w:t>
            </w: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6158DF6A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297FC857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2B3886" w:rsidP="008C6D1C" w:rsidRDefault="002B3886" w14:paraId="26357B7D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5EC23286" w14:textId="77777777">
        <w:trPr>
          <w:trHeight w:val="20"/>
        </w:trPr>
        <w:tc>
          <w:tcPr>
            <w:tcW w:w="675" w:type="dxa"/>
            <w:vAlign w:val="center"/>
          </w:tcPr>
          <w:p w:rsidRPr="002614D7" w:rsidR="00E063A5" w:rsidP="008C6D1C" w:rsidRDefault="00E063A5" w14:paraId="536C1831" w14:textId="6D9A8ECE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4.</w:t>
            </w:r>
          </w:p>
        </w:tc>
        <w:tc>
          <w:tcPr>
            <w:tcW w:w="5137" w:type="dxa"/>
            <w:vAlign w:val="center"/>
          </w:tcPr>
          <w:p w:rsidRPr="002614D7" w:rsidR="00E063A5" w:rsidP="008C6D1C" w:rsidRDefault="00E063A5" w14:paraId="74E8E358" w14:textId="19F4B561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/>
                <w:spacing w:val="4"/>
                <w:szCs w:val="20"/>
                <w:lang w:val="fr-FR" w:eastAsia="fr-FR"/>
              </w:rPr>
              <w:t xml:space="preserve">Avez-vous adopté une politique de conservation des données de vos clients et/ou de vos </w:t>
            </w:r>
            <w:r w:rsidRPr="002614D7" w:rsidR="006D7FC8">
              <w:rPr>
                <w:rFonts w:ascii="Arial" w:hAnsi="Arial" w:eastAsia="Arial" w:cs="Arial"/>
                <w:color w:val="000000"/>
                <w:spacing w:val="4"/>
                <w:szCs w:val="20"/>
                <w:lang w:val="fr-FR" w:eastAsia="fr-FR"/>
              </w:rPr>
              <w:t>employés?</w:t>
            </w:r>
          </w:p>
        </w:tc>
        <w:tc>
          <w:tcPr>
            <w:tcW w:w="851" w:type="dxa"/>
            <w:vAlign w:val="center"/>
          </w:tcPr>
          <w:p w:rsidRPr="002614D7" w:rsidR="00E063A5" w:rsidP="008C6D1C" w:rsidRDefault="00E063A5" w14:paraId="2566951E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E063A5" w:rsidP="008C6D1C" w:rsidRDefault="00E063A5" w14:paraId="6B7353F9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E063A5" w:rsidP="008C6D1C" w:rsidRDefault="00E063A5" w14:paraId="42695A83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0720CCB9" w14:textId="77777777">
        <w:trPr>
          <w:trHeight w:val="20"/>
        </w:trPr>
        <w:tc>
          <w:tcPr>
            <w:tcW w:w="675" w:type="dxa"/>
            <w:vAlign w:val="center"/>
          </w:tcPr>
          <w:p w:rsidRPr="002614D7" w:rsidR="00E063A5" w:rsidP="008C6D1C" w:rsidRDefault="00683E07" w14:paraId="1DDF0EE2" w14:textId="37FF8BB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5.</w:t>
            </w:r>
          </w:p>
        </w:tc>
        <w:tc>
          <w:tcPr>
            <w:tcW w:w="5137" w:type="dxa"/>
            <w:vAlign w:val="center"/>
          </w:tcPr>
          <w:p w:rsidRPr="002614D7" w:rsidR="00E063A5" w:rsidP="008C6D1C" w:rsidRDefault="00683E07" w14:paraId="114AB957" w14:textId="5BDF0ECC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pacing w:val="4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/>
                <w:spacing w:val="3"/>
                <w:szCs w:val="20"/>
                <w:lang w:val="fr-FR" w:eastAsia="fr-FR"/>
              </w:rPr>
              <w:t xml:space="preserve">Avez-vous des politiques ou des procédures existantes pour le traitement des demandes de clients ou d’employés relatives à la vie </w:t>
            </w:r>
            <w:r w:rsidRPr="002614D7" w:rsidR="006D7FC8">
              <w:rPr>
                <w:rFonts w:ascii="Arial" w:hAnsi="Arial" w:eastAsia="Arial" w:cs="Arial"/>
                <w:color w:val="000000"/>
                <w:spacing w:val="3"/>
                <w:szCs w:val="20"/>
                <w:lang w:val="fr-FR" w:eastAsia="fr-FR"/>
              </w:rPr>
              <w:t>privée?</w:t>
            </w:r>
          </w:p>
        </w:tc>
        <w:tc>
          <w:tcPr>
            <w:tcW w:w="851" w:type="dxa"/>
            <w:vAlign w:val="center"/>
          </w:tcPr>
          <w:p w:rsidRPr="002614D7" w:rsidR="00E063A5" w:rsidP="008C6D1C" w:rsidRDefault="00E063A5" w14:paraId="7AB4EBC9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E063A5" w:rsidP="008C6D1C" w:rsidRDefault="00E063A5" w14:paraId="09C66C2B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E063A5" w:rsidP="008C6D1C" w:rsidRDefault="00E063A5" w14:paraId="1C3061B3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702FE95B" w14:textId="77777777">
        <w:trPr>
          <w:trHeight w:val="20"/>
        </w:trPr>
        <w:tc>
          <w:tcPr>
            <w:tcW w:w="675" w:type="dxa"/>
            <w:vAlign w:val="center"/>
          </w:tcPr>
          <w:p w:rsidRPr="002614D7" w:rsidR="00683E07" w:rsidP="008C6D1C" w:rsidRDefault="00683E07" w14:paraId="7DE04C45" w14:textId="33D28180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6,</w:t>
            </w:r>
          </w:p>
        </w:tc>
        <w:tc>
          <w:tcPr>
            <w:tcW w:w="5137" w:type="dxa"/>
            <w:vAlign w:val="center"/>
          </w:tcPr>
          <w:p w:rsidRPr="002614D7" w:rsidR="00683E07" w:rsidP="008C6D1C" w:rsidRDefault="00683E07" w14:paraId="20DAE75B" w14:textId="2A4425BD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pacing w:val="3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/>
                <w:spacing w:val="3"/>
                <w:szCs w:val="20"/>
                <w:lang w:val="fr-FR" w:eastAsia="fr-FR"/>
              </w:rPr>
              <w:t>Avez-vous mis en place une procédure pour l’évaluation des facteurs relatifs à la vie privée (EFVP)?</w:t>
            </w: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08EA644E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2316BA70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39FB13B5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7D9AC6B7" w14:textId="77777777">
        <w:trPr>
          <w:trHeight w:val="20"/>
        </w:trPr>
        <w:tc>
          <w:tcPr>
            <w:tcW w:w="675" w:type="dxa"/>
            <w:vAlign w:val="center"/>
          </w:tcPr>
          <w:p w:rsidRPr="002614D7" w:rsidR="00683E07" w:rsidP="008C6D1C" w:rsidRDefault="00683E07" w14:paraId="45CA8DDC" w14:textId="059FB4F3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7.</w:t>
            </w:r>
          </w:p>
        </w:tc>
        <w:tc>
          <w:tcPr>
            <w:tcW w:w="5137" w:type="dxa"/>
            <w:vAlign w:val="center"/>
          </w:tcPr>
          <w:p w:rsidRPr="002614D7" w:rsidR="00683E07" w:rsidP="008C6D1C" w:rsidRDefault="00683E07" w14:paraId="06B11C99" w14:textId="174789AB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pacing w:val="3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communiqué avec vos fournisseurs de services qui traitent des renseignements personnels (p. ex. : hébergement de données) afin de vous assurer que ceux-ci, notamment ceux se trouvant en dehors du Québec, sont conformes aux nouvelles exigences de la </w:t>
            </w:r>
            <w:r w:rsidRPr="002614D7">
              <w:rPr>
                <w:rFonts w:ascii="Arial" w:hAnsi="Arial" w:eastAsia="Arial" w:cs="Arial"/>
                <w:i/>
                <w:iCs/>
                <w:color w:val="000000" w:themeColor="text1"/>
                <w:szCs w:val="20"/>
                <w:lang w:val="fr-FR" w:eastAsia="fr-FR"/>
              </w:rPr>
              <w:t xml:space="preserve">Loi sur le </w:t>
            </w:r>
            <w:r w:rsidRPr="002614D7" w:rsidR="006D7FC8">
              <w:rPr>
                <w:rFonts w:ascii="Arial" w:hAnsi="Arial" w:eastAsia="Arial" w:cs="Arial"/>
                <w:i/>
                <w:iCs/>
                <w:color w:val="000000" w:themeColor="text1"/>
                <w:szCs w:val="20"/>
                <w:lang w:val="fr-FR" w:eastAsia="fr-FR"/>
              </w:rPr>
              <w:t>privé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?</w:t>
            </w: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53A2CDBB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27BB68F5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5BB659AA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24A16F20" w14:textId="77777777">
        <w:trPr>
          <w:trHeight w:val="20"/>
        </w:trPr>
        <w:tc>
          <w:tcPr>
            <w:tcW w:w="675" w:type="dxa"/>
            <w:vAlign w:val="center"/>
          </w:tcPr>
          <w:p w:rsidRPr="002614D7" w:rsidR="00683E07" w:rsidP="008C6D1C" w:rsidRDefault="00683E07" w14:paraId="11A20BF3" w14:textId="4E0149B5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8.</w:t>
            </w:r>
          </w:p>
        </w:tc>
        <w:tc>
          <w:tcPr>
            <w:tcW w:w="5137" w:type="dxa"/>
            <w:vAlign w:val="center"/>
          </w:tcPr>
          <w:p w:rsidRPr="002614D7" w:rsidR="00683E07" w:rsidP="008C6D1C" w:rsidRDefault="00683E07" w14:paraId="10B1115E" w14:textId="2E792BA1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révisé vos formulaires de consentement pour vous assurer qu’ils sont conformes aux nouvelles exigences de la </w:t>
            </w:r>
            <w:r w:rsidRPr="002614D7">
              <w:rPr>
                <w:rFonts w:ascii="Arial" w:hAnsi="Arial" w:eastAsia="Arial" w:cs="Arial"/>
                <w:i/>
                <w:iCs/>
                <w:color w:val="000000" w:themeColor="text1"/>
                <w:szCs w:val="20"/>
                <w:lang w:val="fr-FR" w:eastAsia="fr-FR"/>
              </w:rPr>
              <w:t xml:space="preserve">Loi sur le </w:t>
            </w:r>
            <w:r w:rsidRPr="002614D7" w:rsidR="006D7FC8">
              <w:rPr>
                <w:rFonts w:ascii="Arial" w:hAnsi="Arial" w:eastAsia="Arial" w:cs="Arial"/>
                <w:i/>
                <w:iCs/>
                <w:color w:val="000000" w:themeColor="text1"/>
                <w:szCs w:val="20"/>
                <w:lang w:val="fr-FR" w:eastAsia="fr-FR"/>
              </w:rPr>
              <w:t>privé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?</w:t>
            </w: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73F3FD71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724EBE07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51DCF4A0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47D6D24B" w14:textId="77777777">
        <w:trPr>
          <w:trHeight w:val="20"/>
        </w:trPr>
        <w:tc>
          <w:tcPr>
            <w:tcW w:w="675" w:type="dxa"/>
            <w:vAlign w:val="center"/>
          </w:tcPr>
          <w:p w:rsidRPr="002614D7" w:rsidR="00683E07" w:rsidP="008C6D1C" w:rsidRDefault="00683E07" w14:paraId="7F7966FD" w14:textId="34068524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9.</w:t>
            </w:r>
          </w:p>
        </w:tc>
        <w:tc>
          <w:tcPr>
            <w:tcW w:w="5137" w:type="dxa"/>
            <w:vAlign w:val="center"/>
          </w:tcPr>
          <w:p w:rsidRPr="002614D7" w:rsidR="00683E07" w:rsidP="008C6D1C" w:rsidRDefault="00683E07" w14:paraId="6F7103A6" w14:textId="798B966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mis en place une procédure en cas d’incident de 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sécurité?</w:t>
            </w: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5DA5EE5D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41B657C0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0B514528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C74A5A" w:rsidTr="001668A8" w14:paraId="21A4F960" w14:textId="77777777">
        <w:trPr>
          <w:trHeight w:val="20"/>
        </w:trPr>
        <w:tc>
          <w:tcPr>
            <w:tcW w:w="675" w:type="dxa"/>
            <w:vAlign w:val="center"/>
          </w:tcPr>
          <w:p w:rsidRPr="002614D7" w:rsidR="00683E07" w:rsidP="008C6D1C" w:rsidRDefault="00683E07" w14:paraId="77388F91" w14:textId="39F5D586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10.</w:t>
            </w:r>
          </w:p>
        </w:tc>
        <w:tc>
          <w:tcPr>
            <w:tcW w:w="5137" w:type="dxa"/>
            <w:vAlign w:val="center"/>
          </w:tcPr>
          <w:p w:rsidRPr="002614D7" w:rsidR="00683E07" w:rsidP="008C6D1C" w:rsidRDefault="00683E07" w14:paraId="4FE8B4B2" w14:textId="7B15E23A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 xml:space="preserve">Avez-vous mis en place une procédure à suivre en cas d’incident de </w:t>
            </w:r>
            <w:r w:rsidRPr="002614D7" w:rsidR="006D7FC8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confidentialité?</w:t>
            </w: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2D68F6CB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2ED09354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683E07" w:rsidP="008C6D1C" w:rsidRDefault="00683E07" w14:paraId="12B0BF3B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F06C61" w:rsidTr="001668A8" w14:paraId="59BEA19D" w14:textId="77777777">
        <w:trPr>
          <w:trHeight w:val="20"/>
        </w:trPr>
        <w:tc>
          <w:tcPr>
            <w:tcW w:w="675" w:type="dxa"/>
            <w:vAlign w:val="center"/>
          </w:tcPr>
          <w:p w:rsidRPr="002614D7" w:rsidR="00F06C61" w:rsidP="008C6D1C" w:rsidRDefault="006D7FC8" w14:paraId="249C566D" w14:textId="4703A88A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11.</w:t>
            </w:r>
          </w:p>
        </w:tc>
        <w:tc>
          <w:tcPr>
            <w:tcW w:w="5137" w:type="dxa"/>
            <w:vAlign w:val="center"/>
          </w:tcPr>
          <w:p w:rsidRPr="002614D7" w:rsidR="00F06C61" w:rsidP="008C6D1C" w:rsidRDefault="00F06C61" w14:paraId="1CAC5384" w14:textId="1194D22B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/>
                <w:spacing w:val="6"/>
                <w:szCs w:val="20"/>
                <w:lang w:val="fr-FR" w:eastAsia="fr-FR"/>
              </w:rPr>
              <w:t>Avez-vous révisé votre assurance responsabilité civile pour vous assurer qu’elle couvre vos dommages et les dommages de vos clients qui découlent des incidents de sécurité?</w:t>
            </w:r>
          </w:p>
        </w:tc>
        <w:tc>
          <w:tcPr>
            <w:tcW w:w="851" w:type="dxa"/>
            <w:vAlign w:val="center"/>
          </w:tcPr>
          <w:p w:rsidRPr="002614D7" w:rsidR="00F06C61" w:rsidP="008C6D1C" w:rsidRDefault="00F06C61" w14:paraId="1A0CA01C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F06C61" w:rsidP="008C6D1C" w:rsidRDefault="00F06C61" w14:paraId="71670BA4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F06C61" w:rsidP="008C6D1C" w:rsidRDefault="00F06C61" w14:paraId="193678A2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  <w:tr w:rsidRPr="002614D7" w:rsidR="00F06C61" w:rsidTr="001668A8" w14:paraId="38AE380B" w14:textId="77777777">
        <w:trPr>
          <w:trHeight w:val="303"/>
        </w:trPr>
        <w:tc>
          <w:tcPr>
            <w:tcW w:w="675" w:type="dxa"/>
            <w:vAlign w:val="center"/>
          </w:tcPr>
          <w:p w:rsidRPr="002614D7" w:rsidR="00F06C61" w:rsidP="008C6D1C" w:rsidRDefault="006D7FC8" w14:paraId="77F103B6" w14:textId="553C2B65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CA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CA" w:eastAsia="fr-FR"/>
              </w:rPr>
              <w:t>12.</w:t>
            </w:r>
          </w:p>
        </w:tc>
        <w:tc>
          <w:tcPr>
            <w:tcW w:w="5137" w:type="dxa"/>
            <w:vAlign w:val="center"/>
          </w:tcPr>
          <w:p w:rsidRPr="002614D7" w:rsidR="00F06C61" w:rsidP="008C6D1C" w:rsidRDefault="006D7FC8" w14:paraId="742861E3" w14:textId="154F8248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color w:val="000000"/>
                <w:szCs w:val="20"/>
                <w:lang w:val="fr-FR" w:eastAsia="fr-FR"/>
              </w:rPr>
            </w:pPr>
            <w:r w:rsidRPr="002614D7">
              <w:rPr>
                <w:rFonts w:ascii="Arial" w:hAnsi="Arial" w:eastAsia="Arial" w:cs="Arial"/>
                <w:color w:val="000000" w:themeColor="text1"/>
                <w:szCs w:val="20"/>
                <w:lang w:val="fr-FR" w:eastAsia="fr-FR"/>
              </w:rPr>
              <w:t>Avez-vous créé un registre pour les incidents de confidentialité?</w:t>
            </w:r>
          </w:p>
        </w:tc>
        <w:tc>
          <w:tcPr>
            <w:tcW w:w="851" w:type="dxa"/>
            <w:vAlign w:val="center"/>
          </w:tcPr>
          <w:p w:rsidRPr="002614D7" w:rsidR="00F06C61" w:rsidP="008C6D1C" w:rsidRDefault="00F06C61" w14:paraId="4C403C92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F06C61" w:rsidP="008C6D1C" w:rsidRDefault="00F06C61" w14:paraId="576097A9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:rsidRPr="002614D7" w:rsidR="00F06C61" w:rsidP="008C6D1C" w:rsidRDefault="00F06C61" w14:paraId="2FA71A71" w14:textId="77777777">
            <w:pPr>
              <w:kinsoku w:val="0"/>
              <w:overflowPunct w:val="0"/>
              <w:autoSpaceDE/>
              <w:autoSpaceDN/>
              <w:adjustRightInd/>
              <w:mirrorIndents/>
              <w:textAlignment w:val="baseline"/>
              <w:rPr>
                <w:rFonts w:ascii="Arial" w:hAnsi="Arial" w:eastAsia="Arial" w:cs="Arial"/>
                <w:b/>
                <w:bCs/>
                <w:color w:val="000000"/>
                <w:szCs w:val="20"/>
                <w:lang w:val="fr-FR" w:eastAsia="fr-FR"/>
              </w:rPr>
            </w:pPr>
          </w:p>
        </w:tc>
      </w:tr>
    </w:tbl>
    <w:p w:rsidR="00FA66C5" w:rsidP="63666F79" w:rsidRDefault="00FA66C5" w14:paraId="20B19EE5" w14:textId="77777777">
      <w:pPr>
        <w:kinsoku w:val="0"/>
        <w:overflowPunct w:val="0"/>
        <w:autoSpaceDE/>
        <w:autoSpaceDN/>
        <w:adjustRightInd/>
        <w:mirrorIndents/>
        <w:jc w:val="both"/>
        <w:textAlignment w:val="baseline"/>
        <w:rPr>
          <w:rFonts w:ascii="Arial" w:hAnsi="Arial" w:eastAsia="Arial" w:cs="Arial"/>
          <w:i/>
          <w:iCs/>
          <w:sz w:val="18"/>
          <w:szCs w:val="22"/>
          <w:lang w:val="fr-CA" w:eastAsia="en-US"/>
        </w:rPr>
      </w:pPr>
    </w:p>
    <w:p w:rsidRPr="000304C5" w:rsidR="00E77E7D" w:rsidP="63666F79" w:rsidRDefault="00C36D53" w14:paraId="5538EEE3" w14:textId="7103250F">
      <w:pPr>
        <w:kinsoku w:val="0"/>
        <w:overflowPunct w:val="0"/>
        <w:autoSpaceDE/>
        <w:autoSpaceDN/>
        <w:adjustRightInd/>
        <w:mirrorIndents/>
        <w:jc w:val="both"/>
        <w:textAlignment w:val="baseline"/>
        <w:rPr>
          <w:rFonts w:ascii="Arial" w:hAnsi="Arial" w:eastAsia="Arial" w:cs="Arial"/>
          <w:i/>
          <w:iCs/>
          <w:sz w:val="18"/>
          <w:szCs w:val="22"/>
          <w:lang w:val="fr-CA" w:eastAsia="en-US"/>
        </w:rPr>
      </w:pPr>
      <w:r w:rsidRPr="000304C5">
        <w:rPr>
          <w:rFonts w:ascii="Arial" w:hAnsi="Arial" w:eastAsia="Arial" w:cs="Arial"/>
          <w:i/>
          <w:iCs/>
          <w:sz w:val="18"/>
          <w:szCs w:val="22"/>
          <w:lang w:val="fr-CA" w:eastAsia="en-US"/>
        </w:rPr>
        <w:t>*</w:t>
      </w:r>
      <w:r w:rsidRPr="000304C5" w:rsidR="0086016E">
        <w:rPr>
          <w:rFonts w:ascii="Arial" w:hAnsi="Arial" w:eastAsia="Arial" w:cs="Arial"/>
          <w:i/>
          <w:iCs/>
          <w:sz w:val="18"/>
          <w:szCs w:val="22"/>
          <w:lang w:val="fr-CA" w:eastAsia="en-US"/>
        </w:rPr>
        <w:t>Tiré d’un document produit par</w:t>
      </w:r>
      <w:r w:rsidRPr="000304C5">
        <w:rPr>
          <w:rFonts w:ascii="Arial" w:hAnsi="Arial" w:eastAsia="Arial" w:cs="Arial"/>
          <w:i/>
          <w:iCs/>
          <w:sz w:val="18"/>
          <w:szCs w:val="22"/>
          <w:lang w:val="fr-CA" w:eastAsia="en-US"/>
        </w:rPr>
        <w:t xml:space="preserve"> le</w:t>
      </w:r>
      <w:r w:rsidRPr="000304C5" w:rsidR="0086016E">
        <w:rPr>
          <w:rFonts w:ascii="Arial" w:hAnsi="Arial" w:eastAsia="Arial" w:cs="Arial"/>
          <w:i/>
          <w:iCs/>
          <w:sz w:val="18"/>
          <w:szCs w:val="22"/>
          <w:lang w:val="fr-CA" w:eastAsia="en-US"/>
        </w:rPr>
        <w:t xml:space="preserve"> Barreau du Québec et </w:t>
      </w:r>
      <w:r w:rsidRPr="000304C5" w:rsidR="00D02894">
        <w:rPr>
          <w:rFonts w:ascii="Arial" w:hAnsi="Arial" w:eastAsia="Arial" w:cs="Arial"/>
          <w:i/>
          <w:iCs/>
          <w:sz w:val="18"/>
          <w:szCs w:val="22"/>
          <w:lang w:val="fr-CA" w:eastAsia="en-US"/>
        </w:rPr>
        <w:t>la Commission d’accès à l’information</w:t>
      </w:r>
      <w:r w:rsidRPr="000304C5">
        <w:rPr>
          <w:rFonts w:ascii="Arial" w:hAnsi="Arial" w:eastAsia="Arial" w:cs="Arial"/>
          <w:i/>
          <w:iCs/>
          <w:sz w:val="18"/>
          <w:szCs w:val="22"/>
          <w:lang w:val="fr-CA" w:eastAsia="en-US"/>
        </w:rPr>
        <w:t xml:space="preserve"> du Québec (CAI)</w:t>
      </w:r>
    </w:p>
    <w:sectPr w:rsidRPr="000304C5" w:rsidR="00E77E7D" w:rsidSect="00647318">
      <w:pgSz w:w="12240" w:h="15840" w:orient="portrait" w:code="119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BCA" w:rsidP="0090044C" w:rsidRDefault="00CD6BCA" w14:paraId="2BE7C055" w14:textId="77777777">
      <w:r>
        <w:separator/>
      </w:r>
    </w:p>
  </w:endnote>
  <w:endnote w:type="continuationSeparator" w:id="0">
    <w:p w:rsidR="00CD6BCA" w:rsidP="0090044C" w:rsidRDefault="00CD6BCA" w14:paraId="115C07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BCA" w:rsidP="0090044C" w:rsidRDefault="00CD6BCA" w14:paraId="0152A20C" w14:textId="77777777">
      <w:r>
        <w:separator/>
      </w:r>
    </w:p>
  </w:footnote>
  <w:footnote w:type="continuationSeparator" w:id="0">
    <w:p w:rsidR="00CD6BCA" w:rsidP="0090044C" w:rsidRDefault="00CD6BCA" w14:paraId="01F3DF5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5356"/>
    <w:multiLevelType w:val="singleLevel"/>
    <w:tmpl w:val="FFFFFFFF"/>
    <w:lvl w:ilvl="0">
      <w:numFmt w:val="bullet"/>
      <w:lvlText w:val="·"/>
      <w:lvlJc w:val="left"/>
      <w:pPr>
        <w:tabs>
          <w:tab w:val="num" w:pos="648"/>
        </w:tabs>
        <w:ind w:left="648" w:hanging="144"/>
      </w:pPr>
      <w:rPr>
        <w:rFonts w:ascii="Symbol" w:hAnsi="Symbol"/>
        <w:snapToGrid/>
        <w:color w:val="000000"/>
        <w:sz w:val="21"/>
      </w:rPr>
    </w:lvl>
  </w:abstractNum>
  <w:abstractNum w:abstractNumId="1" w15:restartNumberingAfterBreak="0">
    <w:nsid w:val="02E02A19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72"/>
        </w:tabs>
        <w:ind w:left="72"/>
      </w:pPr>
      <w:rPr>
        <w:rFonts w:ascii="Arial" w:hAnsi="Arial"/>
        <w:snapToGrid/>
        <w:color w:val="000000"/>
        <w:sz w:val="21"/>
      </w:rPr>
    </w:lvl>
  </w:abstractNum>
  <w:abstractNum w:abstractNumId="2" w15:restartNumberingAfterBreak="0">
    <w:nsid w:val="059ED7C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Arial" w:hAnsi="Arial"/>
        <w:snapToGrid/>
        <w:color w:val="000000"/>
        <w:sz w:val="21"/>
      </w:rPr>
    </w:lvl>
  </w:abstractNum>
  <w:abstractNum w:abstractNumId="3" w15:restartNumberingAfterBreak="0">
    <w:nsid w:val="0B8113B0"/>
    <w:multiLevelType w:val="hybridMultilevel"/>
    <w:tmpl w:val="DFA8C3BC"/>
    <w:lvl w:ilvl="0" w:tplc="0C0C0001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4" w15:restartNumberingAfterBreak="0">
    <w:nsid w:val="0E55074A"/>
    <w:multiLevelType w:val="hybridMultilevel"/>
    <w:tmpl w:val="A9B2A7A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B6102"/>
    <w:multiLevelType w:val="hybridMultilevel"/>
    <w:tmpl w:val="87FC50B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B55E24"/>
    <w:multiLevelType w:val="hybridMultilevel"/>
    <w:tmpl w:val="B9FA287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140B3"/>
    <w:multiLevelType w:val="hybridMultilevel"/>
    <w:tmpl w:val="B57E4DCC"/>
    <w:lvl w:ilvl="0" w:tplc="0C0C0001">
      <w:start w:val="1"/>
      <w:numFmt w:val="bullet"/>
      <w:lvlText w:val=""/>
      <w:lvlJc w:val="left"/>
      <w:pPr>
        <w:ind w:left="867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587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307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027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747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467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87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907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627" w:hanging="360"/>
      </w:pPr>
      <w:rPr>
        <w:rFonts w:hint="default" w:ascii="Wingdings" w:hAnsi="Wingdings"/>
      </w:rPr>
    </w:lvl>
  </w:abstractNum>
  <w:abstractNum w:abstractNumId="8" w15:restartNumberingAfterBreak="0">
    <w:nsid w:val="6D4E07A1"/>
    <w:multiLevelType w:val="hybridMultilevel"/>
    <w:tmpl w:val="A2F4D5C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13337441">
    <w:abstractNumId w:val="2"/>
  </w:num>
  <w:num w:numId="2" w16cid:durableId="676542485">
    <w:abstractNumId w:val="1"/>
  </w:num>
  <w:num w:numId="3" w16cid:durableId="1195534238">
    <w:abstractNumId w:val="1"/>
    <w:lvlOverride w:ilvl="0">
      <w:lvl w:ilvl="0">
        <w:numFmt w:val="decimal"/>
        <w:lvlText w:val="%1."/>
        <w:lvlJc w:val="left"/>
        <w:pPr>
          <w:tabs>
            <w:tab w:val="num" w:pos="144"/>
          </w:tabs>
        </w:pPr>
        <w:rPr>
          <w:rFonts w:ascii="Arial" w:hAnsi="Arial"/>
          <w:snapToGrid/>
          <w:color w:val="000000"/>
          <w:sz w:val="21"/>
        </w:rPr>
      </w:lvl>
    </w:lvlOverride>
  </w:num>
  <w:num w:numId="4" w16cid:durableId="100800702">
    <w:abstractNumId w:val="0"/>
  </w:num>
  <w:num w:numId="5" w16cid:durableId="245264392">
    <w:abstractNumId w:val="0"/>
    <w:lvlOverride w:ilvl="0">
      <w:lvl w:ilvl="0">
        <w:numFmt w:val="bullet"/>
        <w:lvlText w:val="·"/>
        <w:lvlJc w:val="left"/>
        <w:pPr>
          <w:tabs>
            <w:tab w:val="num" w:pos="648"/>
          </w:tabs>
          <w:ind w:left="648"/>
        </w:pPr>
        <w:rPr>
          <w:rFonts w:ascii="Symbol" w:hAnsi="Symbol"/>
          <w:snapToGrid/>
          <w:color w:val="000000"/>
          <w:sz w:val="21"/>
        </w:rPr>
      </w:lvl>
    </w:lvlOverride>
  </w:num>
  <w:num w:numId="6" w16cid:durableId="1127895004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16"/>
        </w:pPr>
        <w:rPr>
          <w:rFonts w:ascii="Symbol" w:hAnsi="Symbol"/>
          <w:snapToGrid/>
          <w:color w:val="000000"/>
          <w:sz w:val="21"/>
        </w:rPr>
      </w:lvl>
    </w:lvlOverride>
  </w:num>
  <w:num w:numId="7" w16cid:durableId="1833788700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144"/>
        </w:pPr>
        <w:rPr>
          <w:rFonts w:ascii="Symbol" w:hAnsi="Symbol"/>
          <w:snapToGrid/>
          <w:color w:val="000000"/>
          <w:sz w:val="21"/>
        </w:rPr>
      </w:lvl>
    </w:lvlOverride>
  </w:num>
  <w:num w:numId="8" w16cid:durableId="1512718626">
    <w:abstractNumId w:val="3"/>
  </w:num>
  <w:num w:numId="9" w16cid:durableId="1757167592">
    <w:abstractNumId w:val="8"/>
  </w:num>
  <w:num w:numId="10" w16cid:durableId="2048094560">
    <w:abstractNumId w:val="7"/>
  </w:num>
  <w:num w:numId="11" w16cid:durableId="1281184305">
    <w:abstractNumId w:val="6"/>
  </w:num>
  <w:num w:numId="12" w16cid:durableId="1850369029">
    <w:abstractNumId w:val="4"/>
  </w:num>
  <w:num w:numId="13" w16cid:durableId="164719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7D"/>
    <w:rsid w:val="00000CBB"/>
    <w:rsid w:val="00003267"/>
    <w:rsid w:val="000058B3"/>
    <w:rsid w:val="00011252"/>
    <w:rsid w:val="00023DE9"/>
    <w:rsid w:val="000252D0"/>
    <w:rsid w:val="000304C5"/>
    <w:rsid w:val="00043802"/>
    <w:rsid w:val="00053424"/>
    <w:rsid w:val="00067389"/>
    <w:rsid w:val="00077C2E"/>
    <w:rsid w:val="00082ADD"/>
    <w:rsid w:val="0009408F"/>
    <w:rsid w:val="000B204D"/>
    <w:rsid w:val="000C6031"/>
    <w:rsid w:val="000D28E1"/>
    <w:rsid w:val="000D7193"/>
    <w:rsid w:val="000F0035"/>
    <w:rsid w:val="000F03B1"/>
    <w:rsid w:val="000F2EC9"/>
    <w:rsid w:val="00100485"/>
    <w:rsid w:val="0010117A"/>
    <w:rsid w:val="00121252"/>
    <w:rsid w:val="00131B44"/>
    <w:rsid w:val="001411D4"/>
    <w:rsid w:val="001668A8"/>
    <w:rsid w:val="001A4079"/>
    <w:rsid w:val="001B6949"/>
    <w:rsid w:val="001C66AE"/>
    <w:rsid w:val="001E2FDA"/>
    <w:rsid w:val="001E364D"/>
    <w:rsid w:val="001F1FC1"/>
    <w:rsid w:val="001F75AB"/>
    <w:rsid w:val="00200601"/>
    <w:rsid w:val="00201D56"/>
    <w:rsid w:val="00214FF1"/>
    <w:rsid w:val="002233DA"/>
    <w:rsid w:val="00236FA6"/>
    <w:rsid w:val="002409C9"/>
    <w:rsid w:val="002461BC"/>
    <w:rsid w:val="00246B8A"/>
    <w:rsid w:val="00253D7C"/>
    <w:rsid w:val="002614D7"/>
    <w:rsid w:val="00271622"/>
    <w:rsid w:val="002A3B0D"/>
    <w:rsid w:val="002A72D2"/>
    <w:rsid w:val="002B3886"/>
    <w:rsid w:val="002B402C"/>
    <w:rsid w:val="002B72C1"/>
    <w:rsid w:val="002D5465"/>
    <w:rsid w:val="002D7559"/>
    <w:rsid w:val="002E10EF"/>
    <w:rsid w:val="00306EC7"/>
    <w:rsid w:val="0031702F"/>
    <w:rsid w:val="0032582E"/>
    <w:rsid w:val="00347252"/>
    <w:rsid w:val="00351916"/>
    <w:rsid w:val="0035782F"/>
    <w:rsid w:val="003A07C9"/>
    <w:rsid w:val="003B344A"/>
    <w:rsid w:val="003B6729"/>
    <w:rsid w:val="003E0FB1"/>
    <w:rsid w:val="003E7CAD"/>
    <w:rsid w:val="003F1A71"/>
    <w:rsid w:val="003F3EB1"/>
    <w:rsid w:val="004169CD"/>
    <w:rsid w:val="004200DC"/>
    <w:rsid w:val="0042149E"/>
    <w:rsid w:val="00424170"/>
    <w:rsid w:val="0042592A"/>
    <w:rsid w:val="00445461"/>
    <w:rsid w:val="004542AE"/>
    <w:rsid w:val="00467D3C"/>
    <w:rsid w:val="00481E99"/>
    <w:rsid w:val="00493894"/>
    <w:rsid w:val="00494F3F"/>
    <w:rsid w:val="004A68B1"/>
    <w:rsid w:val="004B0C80"/>
    <w:rsid w:val="004C5448"/>
    <w:rsid w:val="004D7837"/>
    <w:rsid w:val="004E3892"/>
    <w:rsid w:val="00506892"/>
    <w:rsid w:val="00507F07"/>
    <w:rsid w:val="005142BE"/>
    <w:rsid w:val="00531DD0"/>
    <w:rsid w:val="005364A9"/>
    <w:rsid w:val="00542019"/>
    <w:rsid w:val="00542A28"/>
    <w:rsid w:val="00552E9F"/>
    <w:rsid w:val="00562FC8"/>
    <w:rsid w:val="00566A04"/>
    <w:rsid w:val="00581743"/>
    <w:rsid w:val="00581C16"/>
    <w:rsid w:val="00582503"/>
    <w:rsid w:val="005A32A1"/>
    <w:rsid w:val="005A37C5"/>
    <w:rsid w:val="005C24E4"/>
    <w:rsid w:val="005D4E4D"/>
    <w:rsid w:val="00602550"/>
    <w:rsid w:val="00615657"/>
    <w:rsid w:val="00622AC0"/>
    <w:rsid w:val="00625F73"/>
    <w:rsid w:val="00630CD1"/>
    <w:rsid w:val="00640C3A"/>
    <w:rsid w:val="006443B4"/>
    <w:rsid w:val="006444BB"/>
    <w:rsid w:val="00647318"/>
    <w:rsid w:val="006505ED"/>
    <w:rsid w:val="00651534"/>
    <w:rsid w:val="0065508F"/>
    <w:rsid w:val="00666C64"/>
    <w:rsid w:val="00675377"/>
    <w:rsid w:val="00683E07"/>
    <w:rsid w:val="00693843"/>
    <w:rsid w:val="00697845"/>
    <w:rsid w:val="006D7FC8"/>
    <w:rsid w:val="006E21A0"/>
    <w:rsid w:val="00700254"/>
    <w:rsid w:val="007025D1"/>
    <w:rsid w:val="00704B73"/>
    <w:rsid w:val="00706800"/>
    <w:rsid w:val="00712BF2"/>
    <w:rsid w:val="00715292"/>
    <w:rsid w:val="00717FED"/>
    <w:rsid w:val="00730D6F"/>
    <w:rsid w:val="007379F8"/>
    <w:rsid w:val="00787280"/>
    <w:rsid w:val="00794294"/>
    <w:rsid w:val="007A2F7C"/>
    <w:rsid w:val="007A49BC"/>
    <w:rsid w:val="007A5B4F"/>
    <w:rsid w:val="007B0A30"/>
    <w:rsid w:val="007B55BA"/>
    <w:rsid w:val="007C414A"/>
    <w:rsid w:val="007E0194"/>
    <w:rsid w:val="007E4AAE"/>
    <w:rsid w:val="007F1454"/>
    <w:rsid w:val="007F7992"/>
    <w:rsid w:val="008038D6"/>
    <w:rsid w:val="00813D0B"/>
    <w:rsid w:val="008211E5"/>
    <w:rsid w:val="00854152"/>
    <w:rsid w:val="0086016E"/>
    <w:rsid w:val="00863198"/>
    <w:rsid w:val="00893B0B"/>
    <w:rsid w:val="008955D9"/>
    <w:rsid w:val="008C6D1C"/>
    <w:rsid w:val="008D0B63"/>
    <w:rsid w:val="008D4935"/>
    <w:rsid w:val="0090044C"/>
    <w:rsid w:val="00943A8C"/>
    <w:rsid w:val="0094652D"/>
    <w:rsid w:val="00957D76"/>
    <w:rsid w:val="009868BB"/>
    <w:rsid w:val="009923C5"/>
    <w:rsid w:val="009D0BC4"/>
    <w:rsid w:val="009D61FB"/>
    <w:rsid w:val="009E0136"/>
    <w:rsid w:val="009E4F0A"/>
    <w:rsid w:val="009F6BB4"/>
    <w:rsid w:val="00A12A34"/>
    <w:rsid w:val="00A15ED2"/>
    <w:rsid w:val="00A24B73"/>
    <w:rsid w:val="00A358CF"/>
    <w:rsid w:val="00A53EFD"/>
    <w:rsid w:val="00A8361B"/>
    <w:rsid w:val="00A924EC"/>
    <w:rsid w:val="00AA6D69"/>
    <w:rsid w:val="00AD1A7E"/>
    <w:rsid w:val="00B13A60"/>
    <w:rsid w:val="00B17DC5"/>
    <w:rsid w:val="00B17DDB"/>
    <w:rsid w:val="00B20CEB"/>
    <w:rsid w:val="00B31140"/>
    <w:rsid w:val="00B55566"/>
    <w:rsid w:val="00B65EAC"/>
    <w:rsid w:val="00B71B06"/>
    <w:rsid w:val="00BA73F2"/>
    <w:rsid w:val="00BF569D"/>
    <w:rsid w:val="00C2684A"/>
    <w:rsid w:val="00C3622D"/>
    <w:rsid w:val="00C36D53"/>
    <w:rsid w:val="00C55E29"/>
    <w:rsid w:val="00C74A5A"/>
    <w:rsid w:val="00C97D7E"/>
    <w:rsid w:val="00CA6AF3"/>
    <w:rsid w:val="00CB52BD"/>
    <w:rsid w:val="00CC3354"/>
    <w:rsid w:val="00CC716A"/>
    <w:rsid w:val="00CD5C44"/>
    <w:rsid w:val="00CD6BCA"/>
    <w:rsid w:val="00CE5FA5"/>
    <w:rsid w:val="00D02894"/>
    <w:rsid w:val="00D17D81"/>
    <w:rsid w:val="00D356EF"/>
    <w:rsid w:val="00D6503F"/>
    <w:rsid w:val="00D75ADE"/>
    <w:rsid w:val="00D826B7"/>
    <w:rsid w:val="00D90DCA"/>
    <w:rsid w:val="00DC5D58"/>
    <w:rsid w:val="00DE2856"/>
    <w:rsid w:val="00DE4B67"/>
    <w:rsid w:val="00DE4C95"/>
    <w:rsid w:val="00DF1655"/>
    <w:rsid w:val="00E063A5"/>
    <w:rsid w:val="00E10F35"/>
    <w:rsid w:val="00E16259"/>
    <w:rsid w:val="00E2206F"/>
    <w:rsid w:val="00E226B3"/>
    <w:rsid w:val="00E22990"/>
    <w:rsid w:val="00E37A7A"/>
    <w:rsid w:val="00E4590A"/>
    <w:rsid w:val="00E53B46"/>
    <w:rsid w:val="00E60B9C"/>
    <w:rsid w:val="00E61C0A"/>
    <w:rsid w:val="00E6388E"/>
    <w:rsid w:val="00E6403F"/>
    <w:rsid w:val="00E73B2F"/>
    <w:rsid w:val="00E77E7D"/>
    <w:rsid w:val="00E96206"/>
    <w:rsid w:val="00EC2B8C"/>
    <w:rsid w:val="00EC5E9A"/>
    <w:rsid w:val="00ED2E39"/>
    <w:rsid w:val="00ED3E31"/>
    <w:rsid w:val="00ED45C2"/>
    <w:rsid w:val="00EF347A"/>
    <w:rsid w:val="00F06C61"/>
    <w:rsid w:val="00F13D84"/>
    <w:rsid w:val="00F175A7"/>
    <w:rsid w:val="00F24394"/>
    <w:rsid w:val="00F36E45"/>
    <w:rsid w:val="00F47518"/>
    <w:rsid w:val="00F53737"/>
    <w:rsid w:val="00F60948"/>
    <w:rsid w:val="00F71D7C"/>
    <w:rsid w:val="00FA66C5"/>
    <w:rsid w:val="00FF7725"/>
    <w:rsid w:val="29BCFDFB"/>
    <w:rsid w:val="321D6DAD"/>
    <w:rsid w:val="62793DD6"/>
    <w:rsid w:val="63666F79"/>
    <w:rsid w:val="707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2115"/>
  <w15:chartTrackingRefBased/>
  <w15:docId w15:val="{ADE1A3C3-8C92-448F-A3A5-4E70666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E77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kern w:val="0"/>
      <w:sz w:val="20"/>
      <w:szCs w:val="24"/>
      <w:lang w:val="en-US" w:eastAsia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24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4E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924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A924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9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24EC"/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A924EC"/>
    <w:rPr>
      <w:rFonts w:ascii="Times New Roman" w:hAnsi="Times New Roman" w:cs="Times New Roman" w:eastAsiaTheme="minorEastAsia"/>
      <w:kern w:val="0"/>
      <w:sz w:val="20"/>
      <w:szCs w:val="20"/>
      <w:lang w:val="en-US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4E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924EC"/>
    <w:rPr>
      <w:rFonts w:ascii="Times New Roman" w:hAnsi="Times New Roman" w:cs="Times New Roman" w:eastAsiaTheme="minorEastAsia"/>
      <w:b/>
      <w:bCs/>
      <w:kern w:val="0"/>
      <w:sz w:val="20"/>
      <w:szCs w:val="20"/>
      <w:lang w:val="en-US" w:eastAsia="fr-CA"/>
    </w:rPr>
  </w:style>
  <w:style w:type="paragraph" w:styleId="Rvision">
    <w:name w:val="Revision"/>
    <w:hidden/>
    <w:uiPriority w:val="99"/>
    <w:semiHidden/>
    <w:rsid w:val="00011252"/>
    <w:pPr>
      <w:spacing w:after="0" w:line="240" w:lineRule="auto"/>
    </w:pPr>
    <w:rPr>
      <w:rFonts w:ascii="Times New Roman" w:hAnsi="Times New Roman" w:cs="Times New Roman" w:eastAsiaTheme="minorEastAsia"/>
      <w:kern w:val="0"/>
      <w:sz w:val="20"/>
      <w:szCs w:val="24"/>
      <w:lang w:val="en-US" w:eastAsia="fr-CA"/>
    </w:rPr>
  </w:style>
  <w:style w:type="paragraph" w:styleId="En-tte">
    <w:name w:val="header"/>
    <w:basedOn w:val="Normal"/>
    <w:link w:val="En-tteCar"/>
    <w:uiPriority w:val="99"/>
    <w:unhideWhenUsed/>
    <w:rsid w:val="0090044C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90044C"/>
    <w:rPr>
      <w:rFonts w:ascii="Times New Roman" w:hAnsi="Times New Roman" w:cs="Times New Roman" w:eastAsiaTheme="minorEastAsia"/>
      <w:kern w:val="0"/>
      <w:sz w:val="20"/>
      <w:szCs w:val="24"/>
      <w:lang w:val="en-US" w:eastAsia="fr-CA"/>
    </w:rPr>
  </w:style>
  <w:style w:type="paragraph" w:styleId="Pieddepage">
    <w:name w:val="footer"/>
    <w:basedOn w:val="Normal"/>
    <w:link w:val="PieddepageCar"/>
    <w:uiPriority w:val="99"/>
    <w:unhideWhenUsed/>
    <w:rsid w:val="0090044C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0044C"/>
    <w:rPr>
      <w:rFonts w:ascii="Times New Roman" w:hAnsi="Times New Roman" w:cs="Times New Roman" w:eastAsiaTheme="minorEastAsia"/>
      <w:kern w:val="0"/>
      <w:sz w:val="20"/>
      <w:szCs w:val="24"/>
      <w:lang w:val="en-US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legisquebec.gouv.qc.ca/fr/document/lc/P-39.1" TargetMode="External" Id="Rf580a9090cd54785" /><Relationship Type="http://schemas.openxmlformats.org/officeDocument/2006/relationships/hyperlink" Target="https://www.assnat.qc.ca/Media/Process.aspx?MediaId=ANQ.Vigie.Bll.DocumentGenerique_159567&amp;process=Default&amp;token=ZyMoxNwUn8ikQ+TRKYwPCjWrKwg+vIv9rjij7p3xLGTZDmLVSmJLoqe/vG7/YWzz" TargetMode="External" Id="R714a465b45c04391" /><Relationship Type="http://schemas.openxmlformats.org/officeDocument/2006/relationships/hyperlink" Target="https://www.assnat.qc.ca/Media/Process.aspx?MediaId=ANQ.Vigie.Bll.DocumentGenerique_159567&amp;process=Default&amp;token=ZyMoxNwUn8ikQ+TRKYwPCjWrKwg+vIv9rjij7p3xLGTZDmLVSmJLoqe/vG7/YWzz" TargetMode="External" Id="R3f4cd7a38ba441f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e923a-49ce-4780-87f3-079bbb4aec0f">
      <Terms xmlns="http://schemas.microsoft.com/office/infopath/2007/PartnerControls"/>
    </lcf76f155ced4ddcb4097134ff3c332f>
    <TaxCatchAll xmlns="4be745f5-b359-4766-a195-30730e318f07" xsi:nil="true"/>
    <SharedWithUsers xmlns="4be745f5-b359-4766-a195-30730e318f07">
      <UserInfo>
        <DisplayName>Andrée Lacoursière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9F1EBA20F041A1703D79214F4B22" ma:contentTypeVersion="14" ma:contentTypeDescription="Crée un document." ma:contentTypeScope="" ma:versionID="1b86f113957577f24fec561e69f519be">
  <xsd:schema xmlns:xsd="http://www.w3.org/2001/XMLSchema" xmlns:xs="http://www.w3.org/2001/XMLSchema" xmlns:p="http://schemas.microsoft.com/office/2006/metadata/properties" xmlns:ns2="031e923a-49ce-4780-87f3-079bbb4aec0f" xmlns:ns3="4be745f5-b359-4766-a195-30730e318f07" targetNamespace="http://schemas.microsoft.com/office/2006/metadata/properties" ma:root="true" ma:fieldsID="36000800e5ea302b11ab6c334e836324" ns2:_="" ns3:_="">
    <xsd:import namespace="031e923a-49ce-4780-87f3-079bbb4aec0f"/>
    <xsd:import namespace="4be745f5-b359-4766-a195-30730e318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e923a-49ce-4780-87f3-079bbb4ae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42554a8-0491-4d1f-ba5b-ce1cfa4d7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45f5-b359-4766-a195-30730e318f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84a6d5-9c4d-4a8c-924f-10141956aceb}" ma:internalName="TaxCatchAll" ma:showField="CatchAllData" ma:web="4be745f5-b359-4766-a195-30730e318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3A19A-61FD-4F7C-8F89-F78E2CC88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A4841-6A20-4F5F-A5B2-2F04AFB027CE}">
  <ds:schemaRefs>
    <ds:schemaRef ds:uri="http://schemas.microsoft.com/office/2006/metadata/properties"/>
    <ds:schemaRef ds:uri="http://schemas.microsoft.com/office/infopath/2007/PartnerControls"/>
    <ds:schemaRef ds:uri="031e923a-49ce-4780-87f3-079bbb4aec0f"/>
    <ds:schemaRef ds:uri="4be745f5-b359-4766-a195-30730e318f07"/>
  </ds:schemaRefs>
</ds:datastoreItem>
</file>

<file path=customXml/itemProps3.xml><?xml version="1.0" encoding="utf-8"?>
<ds:datastoreItem xmlns:ds="http://schemas.openxmlformats.org/officeDocument/2006/customXml" ds:itemID="{EAC3A9DA-BB80-4FD2-9089-2A957CD9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e923a-49ce-4780-87f3-079bbb4aec0f"/>
    <ds:schemaRef ds:uri="4be745f5-b359-4766-a195-30730e318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Dessureault-Dober</dc:creator>
  <keywords/>
  <dc:description/>
  <lastModifiedBy>Andrée Lacoursière</lastModifiedBy>
  <revision>34</revision>
  <dcterms:created xsi:type="dcterms:W3CDTF">2023-09-12T22:29:00.0000000Z</dcterms:created>
  <dcterms:modified xsi:type="dcterms:W3CDTF">2023-09-14T17:36:33.9967554Z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0x01010097CF9F1EBA20F041A1703D79214F4B22</vt:lpwstr>
  </property>
  <property fmtid="{D5CDD505-2E9C-101B-9397-08002B2CF9AE}" pid="3" name="MediaServiceImageTags">
    <vt:lpwstr/>
  </property>
</Properties>
</file>